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olor w:val="000000"/>
          <w:sz w:val="32"/>
          <w:szCs w:val="32"/>
        </w:rPr>
      </w:pPr>
      <w:r>
        <w:rPr>
          <w:rFonts w:hint="eastAsia" w:ascii="黑体" w:hAnsi="黑体" w:eastAsia="黑体"/>
          <w:color w:val="000000"/>
          <w:sz w:val="32"/>
          <w:szCs w:val="32"/>
        </w:rPr>
        <w:t>附件1</w:t>
      </w:r>
    </w:p>
    <w:p>
      <w:pPr>
        <w:widowControl/>
        <w:spacing w:beforeLines="50" w:afterLines="50" w:line="600" w:lineRule="exact"/>
        <w:jc w:val="center"/>
        <w:rPr>
          <w:rFonts w:ascii="方正小标宋简体" w:hAnsi="方正小标宋简体" w:eastAsia="方正小标宋简体" w:cs="仿宋"/>
          <w:color w:val="000000"/>
          <w:sz w:val="36"/>
          <w:szCs w:val="36"/>
        </w:rPr>
      </w:pPr>
      <w:r>
        <w:rPr>
          <w:rFonts w:hint="eastAsia" w:ascii="方正小标宋简体" w:hAnsi="方正小标宋简体" w:eastAsia="方正小标宋简体" w:cs="仿宋"/>
          <w:color w:val="000000"/>
          <w:sz w:val="36"/>
          <w:szCs w:val="36"/>
        </w:rPr>
        <w:t>江西省202</w:t>
      </w:r>
      <w:r>
        <w:rPr>
          <w:rFonts w:hint="eastAsia" w:ascii="方正小标宋简体" w:hAnsi="方正小标宋简体" w:eastAsia="方正小标宋简体" w:cs="仿宋"/>
          <w:color w:val="000000"/>
          <w:sz w:val="36"/>
          <w:szCs w:val="36"/>
          <w:lang w:val="en-US" w:eastAsia="zh-CN"/>
        </w:rPr>
        <w:t>2</w:t>
      </w:r>
      <w:r>
        <w:rPr>
          <w:rFonts w:hint="eastAsia" w:ascii="方正小标宋简体" w:hAnsi="方正小标宋简体" w:eastAsia="方正小标宋简体" w:cs="仿宋"/>
          <w:color w:val="000000"/>
          <w:sz w:val="36"/>
          <w:szCs w:val="36"/>
        </w:rPr>
        <w:t>年普通高校招生</w:t>
      </w:r>
      <w:r>
        <w:rPr>
          <w:rFonts w:ascii="方正小标宋简体" w:hAnsi="方正小标宋简体" w:eastAsia="方正小标宋简体" w:cs="仿宋"/>
          <w:color w:val="000000"/>
          <w:sz w:val="36"/>
          <w:szCs w:val="36"/>
        </w:rPr>
        <w:t>享受优惠</w:t>
      </w:r>
      <w:r>
        <w:rPr>
          <w:rFonts w:hint="eastAsia" w:ascii="方正小标宋简体" w:hAnsi="方正小标宋简体" w:eastAsia="方正小标宋简体" w:cs="仿宋"/>
          <w:color w:val="000000"/>
          <w:sz w:val="36"/>
          <w:szCs w:val="36"/>
        </w:rPr>
        <w:t>考生分类表</w:t>
      </w:r>
    </w:p>
    <w:tbl>
      <w:tblPr>
        <w:tblStyle w:val="2"/>
        <w:tblW w:w="9508" w:type="dxa"/>
        <w:jc w:val="center"/>
        <w:tblLayout w:type="fixed"/>
        <w:tblCellMar>
          <w:top w:w="15" w:type="dxa"/>
          <w:left w:w="15" w:type="dxa"/>
          <w:bottom w:w="15" w:type="dxa"/>
          <w:right w:w="15" w:type="dxa"/>
        </w:tblCellMar>
      </w:tblPr>
      <w:tblGrid>
        <w:gridCol w:w="733"/>
        <w:gridCol w:w="7674"/>
        <w:gridCol w:w="1101"/>
      </w:tblGrid>
      <w:tr>
        <w:tblPrEx>
          <w:tblCellMar>
            <w:top w:w="15" w:type="dxa"/>
            <w:left w:w="15" w:type="dxa"/>
            <w:bottom w:w="15" w:type="dxa"/>
            <w:right w:w="15" w:type="dxa"/>
          </w:tblCellMar>
        </w:tblPrEx>
        <w:trPr>
          <w:trHeight w:val="20" w:hRule="atLeast"/>
          <w:tblHeader/>
          <w:jc w:val="center"/>
        </w:trPr>
        <w:tc>
          <w:tcPr>
            <w:tcW w:w="733" w:type="dxa"/>
            <w:tcBorders>
              <w:top w:val="single" w:color="000000" w:sz="4" w:space="0"/>
              <w:left w:val="single" w:color="000000" w:sz="4" w:space="0"/>
              <w:bottom w:val="single" w:color="000000" w:sz="4" w:space="0"/>
              <w:right w:val="single" w:color="000000" w:sz="4" w:space="0"/>
            </w:tcBorders>
            <w:tcMar>
              <w:top w:w="108" w:type="dxa"/>
              <w:left w:w="110" w:type="dxa"/>
              <w:bottom w:w="110" w:type="dxa"/>
              <w:right w:w="108" w:type="dxa"/>
            </w:tcMar>
            <w:vAlign w:val="center"/>
          </w:tcPr>
          <w:p>
            <w:pPr>
              <w:widowControl/>
              <w:spacing w:line="360" w:lineRule="atLeast"/>
              <w:jc w:val="center"/>
              <w:rPr>
                <w:rFonts w:ascii="黑体" w:hAnsi="黑体" w:eastAsia="黑体" w:cs="仿宋"/>
                <w:color w:val="000000"/>
                <w:sz w:val="24"/>
              </w:rPr>
            </w:pPr>
            <w:r>
              <w:rPr>
                <w:rFonts w:hint="eastAsia" w:ascii="黑体" w:hAnsi="黑体" w:eastAsia="黑体" w:cs="仿宋"/>
                <w:color w:val="000000"/>
                <w:sz w:val="24"/>
              </w:rPr>
              <w:t>分类</w:t>
            </w:r>
          </w:p>
          <w:p>
            <w:pPr>
              <w:widowControl/>
              <w:spacing w:line="360" w:lineRule="atLeast"/>
              <w:jc w:val="center"/>
              <w:rPr>
                <w:rFonts w:ascii="黑体" w:hAnsi="黑体" w:eastAsia="黑体" w:cs="仿宋"/>
                <w:color w:val="000000"/>
                <w:sz w:val="24"/>
              </w:rPr>
            </w:pPr>
            <w:r>
              <w:rPr>
                <w:rFonts w:hint="eastAsia" w:ascii="黑体" w:hAnsi="黑体" w:eastAsia="黑体" w:cs="仿宋"/>
                <w:color w:val="000000"/>
                <w:sz w:val="24"/>
              </w:rPr>
              <w:t>代号</w:t>
            </w:r>
          </w:p>
        </w:tc>
        <w:tc>
          <w:tcPr>
            <w:tcW w:w="76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黑体" w:hAnsi="黑体" w:eastAsia="黑体"/>
                <w:color w:val="000000"/>
                <w:sz w:val="24"/>
              </w:rPr>
            </w:pPr>
            <w:r>
              <w:rPr>
                <w:rFonts w:hint="eastAsia" w:ascii="黑体" w:hAnsi="黑体" w:eastAsia="黑体" w:cs="仿宋"/>
                <w:color w:val="000000"/>
                <w:sz w:val="24"/>
              </w:rPr>
              <w:t>优惠对象</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黑体" w:hAnsi="黑体" w:eastAsia="黑体"/>
                <w:color w:val="000000"/>
                <w:sz w:val="24"/>
              </w:rPr>
            </w:pPr>
            <w:r>
              <w:rPr>
                <w:rFonts w:hint="eastAsia" w:ascii="黑体" w:hAnsi="黑体" w:eastAsia="黑体" w:cs="仿宋"/>
                <w:color w:val="000000"/>
                <w:sz w:val="24"/>
              </w:rPr>
              <w:t>优惠政策</w:t>
            </w:r>
          </w:p>
        </w:tc>
      </w:tr>
      <w:tr>
        <w:tblPrEx>
          <w:tblCellMar>
            <w:top w:w="15" w:type="dxa"/>
            <w:left w:w="15" w:type="dxa"/>
            <w:bottom w:w="15" w:type="dxa"/>
            <w:right w:w="15" w:type="dxa"/>
          </w:tblCellMar>
        </w:tblPrEx>
        <w:trPr>
          <w:trHeight w:val="735" w:hRule="atLeast"/>
          <w:tblHeader/>
          <w:jc w:val="center"/>
        </w:trPr>
        <w:tc>
          <w:tcPr>
            <w:tcW w:w="733" w:type="dxa"/>
            <w:tcBorders>
              <w:top w:val="single" w:color="000000" w:sz="4" w:space="0"/>
              <w:left w:val="single" w:color="000000" w:sz="4" w:space="0"/>
              <w:bottom w:val="single" w:color="000000" w:sz="4" w:space="0"/>
              <w:right w:val="single" w:color="000000" w:sz="4" w:space="0"/>
            </w:tcBorders>
            <w:tcMar>
              <w:top w:w="108" w:type="dxa"/>
              <w:left w:w="110" w:type="dxa"/>
              <w:bottom w:w="110" w:type="dxa"/>
              <w:right w:w="108" w:type="dxa"/>
            </w:tcMar>
            <w:vAlign w:val="center"/>
          </w:tcPr>
          <w:p>
            <w:pPr>
              <w:jc w:val="center"/>
              <w:rPr>
                <w:rFonts w:ascii="仿宋_GB2312" w:hAnsi="仿宋" w:eastAsia="仿宋_GB2312" w:cs="仿宋"/>
                <w:color w:val="000000"/>
                <w:sz w:val="24"/>
              </w:rPr>
            </w:pPr>
            <w:r>
              <w:rPr>
                <w:rFonts w:hint="eastAsia" w:ascii="仿宋_GB2312" w:hAnsi="仿宋" w:eastAsia="仿宋_GB2312" w:cs="仿宋"/>
                <w:color w:val="000000"/>
                <w:sz w:val="24"/>
              </w:rPr>
              <w:t>1</w:t>
            </w:r>
          </w:p>
        </w:tc>
        <w:tc>
          <w:tcPr>
            <w:tcW w:w="76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rPr>
                <w:rFonts w:ascii="仿宋_GB2312" w:eastAsia="仿宋_GB2312"/>
                <w:color w:val="000000"/>
                <w:sz w:val="24"/>
              </w:rPr>
            </w:pPr>
            <w:r>
              <w:rPr>
                <w:rFonts w:hint="eastAsia" w:ascii="仿宋_GB2312" w:hAnsi="仿宋" w:eastAsia="仿宋_GB2312" w:cs="仿宋"/>
                <w:color w:val="000000"/>
                <w:sz w:val="24"/>
              </w:rPr>
              <w:t>经省政府批准的民族乡（贵溪市樟坪畲族乡等8个民族乡）和按照法定程序批准且经省有关部门向社会公示的民族村（铅山县陈坊乡长寿畲族村等82个民族村）的少数民族考生</w:t>
            </w:r>
          </w:p>
        </w:tc>
        <w:tc>
          <w:tcPr>
            <w:tcW w:w="1101" w:type="dxa"/>
            <w:vMerge w:val="restart"/>
            <w:tcBorders>
              <w:top w:val="single" w:color="000000" w:sz="4" w:space="0"/>
              <w:left w:val="single" w:color="000000" w:sz="4" w:space="0"/>
              <w:right w:val="single" w:color="000000" w:sz="4" w:space="0"/>
            </w:tcBorders>
            <w:vAlign w:val="center"/>
          </w:tcPr>
          <w:p>
            <w:pPr>
              <w:jc w:val="center"/>
              <w:rPr>
                <w:rFonts w:ascii="仿宋_GB2312" w:eastAsia="仿宋_GB2312"/>
                <w:color w:val="000000"/>
                <w:sz w:val="24"/>
              </w:rPr>
            </w:pPr>
            <w:r>
              <w:rPr>
                <w:rFonts w:hint="eastAsia" w:ascii="仿宋_GB2312" w:hAnsi="仿宋" w:eastAsia="仿宋_GB2312" w:cs="仿宋"/>
                <w:color w:val="000000"/>
                <w:sz w:val="24"/>
              </w:rPr>
              <w:t>加5分</w:t>
            </w:r>
          </w:p>
        </w:tc>
      </w:tr>
      <w:tr>
        <w:tblPrEx>
          <w:tblCellMar>
            <w:top w:w="15" w:type="dxa"/>
            <w:left w:w="15" w:type="dxa"/>
            <w:bottom w:w="15" w:type="dxa"/>
            <w:right w:w="15" w:type="dxa"/>
          </w:tblCellMar>
        </w:tblPrEx>
        <w:trPr>
          <w:trHeight w:val="625" w:hRule="atLeast"/>
          <w:tblHeader/>
          <w:jc w:val="center"/>
        </w:trPr>
        <w:tc>
          <w:tcPr>
            <w:tcW w:w="733" w:type="dxa"/>
            <w:tcBorders>
              <w:top w:val="single" w:color="000000" w:sz="4" w:space="0"/>
              <w:left w:val="single" w:color="000000" w:sz="4" w:space="0"/>
              <w:bottom w:val="single" w:color="000000" w:sz="4" w:space="0"/>
              <w:right w:val="single" w:color="000000" w:sz="4" w:space="0"/>
            </w:tcBorders>
            <w:tcMar>
              <w:top w:w="108" w:type="dxa"/>
              <w:left w:w="110" w:type="dxa"/>
              <w:bottom w:w="110" w:type="dxa"/>
              <w:right w:w="108" w:type="dxa"/>
            </w:tcMar>
            <w:vAlign w:val="center"/>
          </w:tcPr>
          <w:p>
            <w:pPr>
              <w:jc w:val="center"/>
              <w:rPr>
                <w:rFonts w:ascii="仿宋_GB2312" w:hAnsi="仿宋" w:eastAsia="仿宋_GB2312" w:cs="仿宋"/>
                <w:color w:val="000000"/>
                <w:sz w:val="24"/>
              </w:rPr>
            </w:pPr>
            <w:r>
              <w:rPr>
                <w:rFonts w:hint="eastAsia" w:ascii="仿宋_GB2312" w:hAnsi="仿宋" w:eastAsia="仿宋_GB2312" w:cs="仿宋"/>
                <w:color w:val="000000"/>
                <w:sz w:val="24"/>
              </w:rPr>
              <w:t>2</w:t>
            </w:r>
          </w:p>
        </w:tc>
        <w:tc>
          <w:tcPr>
            <w:tcW w:w="76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rPr>
                <w:rFonts w:ascii="仿宋_GB2312" w:eastAsia="仿宋_GB2312"/>
                <w:color w:val="000000"/>
                <w:sz w:val="24"/>
              </w:rPr>
            </w:pPr>
            <w:r>
              <w:rPr>
                <w:rFonts w:hint="eastAsia" w:ascii="仿宋_GB2312" w:hAnsi="仿宋" w:eastAsia="仿宋_GB2312" w:cs="仿宋"/>
                <w:color w:val="000000"/>
                <w:sz w:val="24"/>
              </w:rPr>
              <w:t>归侨、华侨子女、归侨子女、台湾省籍（含台湾户籍）考生</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olor w:val="000000"/>
                <w:sz w:val="24"/>
              </w:rPr>
            </w:pPr>
          </w:p>
        </w:tc>
      </w:tr>
      <w:tr>
        <w:tblPrEx>
          <w:tblCellMar>
            <w:top w:w="15" w:type="dxa"/>
            <w:left w:w="15" w:type="dxa"/>
            <w:bottom w:w="15" w:type="dxa"/>
            <w:right w:w="15" w:type="dxa"/>
          </w:tblCellMar>
        </w:tblPrEx>
        <w:trPr>
          <w:trHeight w:val="390" w:hRule="atLeast"/>
          <w:tblHeader/>
          <w:jc w:val="center"/>
        </w:trPr>
        <w:tc>
          <w:tcPr>
            <w:tcW w:w="733" w:type="dxa"/>
            <w:tcBorders>
              <w:top w:val="single" w:color="000000" w:sz="4" w:space="0"/>
              <w:left w:val="single" w:color="000000" w:sz="4" w:space="0"/>
              <w:bottom w:val="single" w:color="000000" w:sz="4" w:space="0"/>
              <w:right w:val="single" w:color="000000" w:sz="4" w:space="0"/>
            </w:tcBorders>
            <w:tcMar>
              <w:top w:w="108" w:type="dxa"/>
              <w:left w:w="110" w:type="dxa"/>
              <w:bottom w:w="110" w:type="dxa"/>
              <w:right w:w="108" w:type="dxa"/>
            </w:tcMar>
            <w:vAlign w:val="center"/>
          </w:tcPr>
          <w:p>
            <w:pPr>
              <w:jc w:val="center"/>
              <w:rPr>
                <w:rFonts w:ascii="仿宋_GB2312" w:hAnsi="仿宋" w:eastAsia="仿宋_GB2312" w:cs="仿宋"/>
                <w:color w:val="000000"/>
                <w:sz w:val="24"/>
              </w:rPr>
            </w:pPr>
            <w:r>
              <w:rPr>
                <w:rFonts w:hint="eastAsia" w:ascii="仿宋_GB2312" w:hAnsi="仿宋" w:eastAsia="仿宋_GB2312" w:cs="仿宋"/>
                <w:color w:val="000000"/>
                <w:sz w:val="24"/>
              </w:rPr>
              <w:t>3</w:t>
            </w:r>
          </w:p>
        </w:tc>
        <w:tc>
          <w:tcPr>
            <w:tcW w:w="76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rPr>
                <w:rFonts w:ascii="仿宋_GB2312" w:eastAsia="仿宋_GB2312"/>
                <w:color w:val="000000"/>
                <w:sz w:val="24"/>
              </w:rPr>
            </w:pPr>
            <w:r>
              <w:rPr>
                <w:rFonts w:hint="eastAsia" w:ascii="仿宋_GB2312" w:hAnsi="仿宋" w:eastAsia="仿宋_GB2312" w:cs="仿宋"/>
                <w:color w:val="000000"/>
                <w:sz w:val="24"/>
              </w:rPr>
              <w:t>自主就业的退役士兵考生</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eastAsia="仿宋_GB2312"/>
                <w:color w:val="000000"/>
                <w:sz w:val="24"/>
              </w:rPr>
            </w:pPr>
            <w:r>
              <w:rPr>
                <w:rFonts w:hint="eastAsia" w:ascii="仿宋_GB2312" w:hAnsi="仿宋" w:eastAsia="仿宋_GB2312" w:cs="仿宋"/>
                <w:color w:val="000000"/>
                <w:sz w:val="24"/>
              </w:rPr>
              <w:t>加10分</w:t>
            </w:r>
          </w:p>
        </w:tc>
      </w:tr>
      <w:tr>
        <w:tblPrEx>
          <w:tblCellMar>
            <w:top w:w="15" w:type="dxa"/>
            <w:left w:w="15" w:type="dxa"/>
            <w:bottom w:w="15" w:type="dxa"/>
            <w:right w:w="15" w:type="dxa"/>
          </w:tblCellMar>
        </w:tblPrEx>
        <w:trPr>
          <w:trHeight w:val="390" w:hRule="atLeast"/>
          <w:tblHeader/>
          <w:jc w:val="center"/>
        </w:trPr>
        <w:tc>
          <w:tcPr>
            <w:tcW w:w="733" w:type="dxa"/>
            <w:tcBorders>
              <w:top w:val="single" w:color="000000" w:sz="4" w:space="0"/>
              <w:left w:val="single" w:color="000000" w:sz="4" w:space="0"/>
              <w:bottom w:val="single" w:color="auto" w:sz="4" w:space="0"/>
              <w:right w:val="single" w:color="000000" w:sz="4" w:space="0"/>
            </w:tcBorders>
            <w:tcMar>
              <w:top w:w="108" w:type="dxa"/>
              <w:left w:w="110" w:type="dxa"/>
              <w:bottom w:w="110" w:type="dxa"/>
              <w:right w:w="108" w:type="dxa"/>
            </w:tcMar>
            <w:vAlign w:val="center"/>
          </w:tcPr>
          <w:p>
            <w:pPr>
              <w:jc w:val="center"/>
              <w:rPr>
                <w:rFonts w:ascii="仿宋_GB2312" w:hAnsi="仿宋" w:eastAsia="仿宋_GB2312" w:cs="仿宋"/>
                <w:sz w:val="24"/>
              </w:rPr>
            </w:pPr>
            <w:r>
              <w:rPr>
                <w:rFonts w:hint="eastAsia" w:ascii="仿宋_GB2312" w:hAnsi="仿宋" w:eastAsia="仿宋_GB2312" w:cs="仿宋"/>
                <w:sz w:val="24"/>
              </w:rPr>
              <w:t>4</w:t>
            </w:r>
          </w:p>
        </w:tc>
        <w:tc>
          <w:tcPr>
            <w:tcW w:w="7674" w:type="dxa"/>
            <w:tcBorders>
              <w:top w:val="single" w:color="000000" w:sz="4" w:space="0"/>
              <w:left w:val="single" w:color="000000" w:sz="4" w:space="0"/>
              <w:bottom w:val="single" w:color="auto" w:sz="4" w:space="0"/>
              <w:right w:val="single" w:color="000000" w:sz="4" w:space="0"/>
            </w:tcBorders>
            <w:vAlign w:val="center"/>
          </w:tcPr>
          <w:p>
            <w:pPr>
              <w:widowControl/>
              <w:spacing w:line="360" w:lineRule="atLeast"/>
              <w:rPr>
                <w:rFonts w:ascii="仿宋_GB2312" w:eastAsia="仿宋_GB2312"/>
                <w:sz w:val="24"/>
              </w:rPr>
            </w:pPr>
            <w:r>
              <w:rPr>
                <w:rFonts w:hint="eastAsia" w:ascii="仿宋_GB2312" w:hAnsi="仿宋" w:eastAsia="仿宋_GB2312" w:cs="仿宋"/>
                <w:sz w:val="24"/>
              </w:rPr>
              <w:t>烈士子女考生</w:t>
            </w:r>
          </w:p>
        </w:tc>
        <w:tc>
          <w:tcPr>
            <w:tcW w:w="1101" w:type="dxa"/>
            <w:vMerge w:val="restart"/>
            <w:tcBorders>
              <w:top w:val="single" w:color="000000" w:sz="4" w:space="0"/>
              <w:left w:val="single" w:color="000000" w:sz="4" w:space="0"/>
              <w:bottom w:val="single" w:color="auto" w:sz="4" w:space="0"/>
              <w:right w:val="single" w:color="000000" w:sz="4" w:space="0"/>
            </w:tcBorders>
            <w:vAlign w:val="center"/>
          </w:tcPr>
          <w:p>
            <w:pPr>
              <w:widowControl/>
              <w:spacing w:line="360" w:lineRule="atLeast"/>
              <w:jc w:val="center"/>
              <w:rPr>
                <w:rFonts w:ascii="仿宋_GB2312" w:eastAsia="仿宋_GB2312"/>
                <w:color w:val="000000"/>
                <w:sz w:val="24"/>
              </w:rPr>
            </w:pPr>
            <w:r>
              <w:rPr>
                <w:rFonts w:hint="eastAsia" w:ascii="仿宋_GB2312" w:hAnsi="仿宋" w:eastAsia="仿宋_GB2312" w:cs="仿宋"/>
                <w:color w:val="000000"/>
                <w:sz w:val="24"/>
              </w:rPr>
              <w:t>加20分</w:t>
            </w:r>
          </w:p>
        </w:tc>
      </w:tr>
      <w:tr>
        <w:tblPrEx>
          <w:tblCellMar>
            <w:top w:w="15" w:type="dxa"/>
            <w:left w:w="15" w:type="dxa"/>
            <w:bottom w:w="15" w:type="dxa"/>
            <w:right w:w="15" w:type="dxa"/>
          </w:tblCellMar>
        </w:tblPrEx>
        <w:trPr>
          <w:trHeight w:val="735" w:hRule="atLeast"/>
          <w:tblHeader/>
          <w:jc w:val="center"/>
        </w:trPr>
        <w:tc>
          <w:tcPr>
            <w:tcW w:w="733" w:type="dxa"/>
            <w:tcBorders>
              <w:top w:val="single" w:color="auto" w:sz="4" w:space="0"/>
              <w:left w:val="single" w:color="000000" w:sz="4" w:space="0"/>
              <w:bottom w:val="single" w:color="000000" w:sz="4" w:space="0"/>
              <w:right w:val="single" w:color="000000" w:sz="4" w:space="0"/>
            </w:tcBorders>
            <w:tcMar>
              <w:top w:w="108" w:type="dxa"/>
              <w:left w:w="110" w:type="dxa"/>
              <w:bottom w:w="110" w:type="dxa"/>
              <w:right w:w="108" w:type="dxa"/>
            </w:tcMar>
            <w:vAlign w:val="center"/>
          </w:tcPr>
          <w:p>
            <w:pPr>
              <w:jc w:val="center"/>
              <w:rPr>
                <w:rFonts w:ascii="仿宋_GB2312" w:hAnsi="仿宋" w:eastAsia="仿宋_GB2312" w:cs="仿宋"/>
                <w:color w:val="000000"/>
                <w:sz w:val="24"/>
              </w:rPr>
            </w:pPr>
            <w:r>
              <w:rPr>
                <w:rFonts w:hint="eastAsia" w:ascii="仿宋_GB2312" w:hAnsi="仿宋" w:eastAsia="仿宋_GB2312" w:cs="仿宋"/>
                <w:color w:val="000000"/>
                <w:sz w:val="24"/>
              </w:rPr>
              <w:t>5</w:t>
            </w:r>
          </w:p>
        </w:tc>
        <w:tc>
          <w:tcPr>
            <w:tcW w:w="7674" w:type="dxa"/>
            <w:tcBorders>
              <w:top w:val="single" w:color="auto" w:sz="4" w:space="0"/>
              <w:left w:val="single" w:color="000000" w:sz="4" w:space="0"/>
              <w:bottom w:val="single" w:color="000000" w:sz="4" w:space="0"/>
              <w:right w:val="single" w:color="000000" w:sz="4" w:space="0"/>
            </w:tcBorders>
            <w:vAlign w:val="center"/>
          </w:tcPr>
          <w:p>
            <w:pPr>
              <w:widowControl/>
              <w:spacing w:line="360" w:lineRule="atLeast"/>
              <w:rPr>
                <w:rFonts w:ascii="仿宋_GB2312" w:eastAsia="仿宋_GB2312"/>
                <w:color w:val="000000"/>
                <w:sz w:val="24"/>
              </w:rPr>
            </w:pPr>
            <w:r>
              <w:rPr>
                <w:rFonts w:hint="eastAsia" w:ascii="仿宋_GB2312" w:hAnsi="仿宋" w:eastAsia="仿宋_GB2312" w:cs="仿宋"/>
                <w:color w:val="000000"/>
                <w:sz w:val="24"/>
              </w:rPr>
              <w:t>在服役期间荣立二等功以上或被战区（原大军区）以上单位授予荣誉称号的退役军人考生</w:t>
            </w:r>
          </w:p>
        </w:tc>
        <w:tc>
          <w:tcPr>
            <w:tcW w:w="1101" w:type="dxa"/>
            <w:vMerge w:val="continue"/>
            <w:tcBorders>
              <w:top w:val="single" w:color="auto" w:sz="4" w:space="0"/>
              <w:left w:val="single" w:color="000000" w:sz="4" w:space="0"/>
              <w:right w:val="single" w:color="000000" w:sz="4" w:space="0"/>
            </w:tcBorders>
            <w:vAlign w:val="center"/>
          </w:tcPr>
          <w:p>
            <w:pPr>
              <w:jc w:val="center"/>
              <w:rPr>
                <w:rFonts w:ascii="仿宋_GB2312" w:eastAsia="仿宋_GB2312"/>
                <w:color w:val="000000"/>
                <w:sz w:val="24"/>
              </w:rPr>
            </w:pPr>
          </w:p>
        </w:tc>
      </w:tr>
      <w:tr>
        <w:tblPrEx>
          <w:tblCellMar>
            <w:top w:w="15" w:type="dxa"/>
            <w:left w:w="15" w:type="dxa"/>
            <w:bottom w:w="15" w:type="dxa"/>
            <w:right w:w="15" w:type="dxa"/>
          </w:tblCellMar>
        </w:tblPrEx>
        <w:trPr>
          <w:trHeight w:val="2895" w:hRule="atLeast"/>
          <w:tblHeader/>
          <w:jc w:val="center"/>
        </w:trPr>
        <w:tc>
          <w:tcPr>
            <w:tcW w:w="733" w:type="dxa"/>
            <w:tcBorders>
              <w:top w:val="single" w:color="000000" w:sz="4" w:space="0"/>
              <w:left w:val="single" w:color="000000" w:sz="4" w:space="0"/>
              <w:bottom w:val="single" w:color="000000" w:sz="4" w:space="0"/>
              <w:right w:val="single" w:color="000000" w:sz="4" w:space="0"/>
            </w:tcBorders>
            <w:tcMar>
              <w:top w:w="108" w:type="dxa"/>
              <w:left w:w="110" w:type="dxa"/>
              <w:bottom w:w="110" w:type="dxa"/>
              <w:right w:w="108" w:type="dxa"/>
            </w:tcMar>
            <w:vAlign w:val="center"/>
          </w:tcPr>
          <w:p>
            <w:pPr>
              <w:jc w:val="center"/>
              <w:rPr>
                <w:rFonts w:ascii="仿宋_GB2312" w:hAnsi="仿宋" w:eastAsia="仿宋_GB2312" w:cs="仿宋"/>
                <w:color w:val="000000"/>
                <w:sz w:val="24"/>
              </w:rPr>
            </w:pPr>
            <w:r>
              <w:rPr>
                <w:rFonts w:hint="eastAsia" w:ascii="仿宋_GB2312" w:hAnsi="仿宋" w:eastAsia="仿宋_GB2312" w:cs="仿宋"/>
                <w:color w:val="000000"/>
                <w:sz w:val="24"/>
              </w:rPr>
              <w:t>F</w:t>
            </w:r>
          </w:p>
        </w:tc>
        <w:tc>
          <w:tcPr>
            <w:tcW w:w="767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_GB2312" w:hAnsi="仿宋" w:eastAsia="仿宋_GB2312" w:cs="仿宋"/>
                <w:color w:val="000000"/>
                <w:sz w:val="24"/>
              </w:rPr>
            </w:pPr>
            <w:r>
              <w:rPr>
                <w:rFonts w:hint="eastAsia" w:ascii="仿宋_GB2312" w:hAnsi="仿宋" w:eastAsia="仿宋_GB2312" w:cs="仿宋"/>
                <w:color w:val="000000"/>
                <w:sz w:val="24"/>
              </w:rPr>
              <w:t>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或者解放军总部划定的特类岛屿工作累计满10年的军人的子女，在飞或停飞不满1年或达到飞行最高年限空勤军人的子女，从事舰艇工作满20年军人的子女，在航天和涉核岗位工作累计满15年军人的子女。</w:t>
            </w:r>
          </w:p>
          <w:p>
            <w:pPr>
              <w:spacing w:line="400" w:lineRule="exact"/>
              <w:rPr>
                <w:rFonts w:hint="eastAsia" w:ascii="仿宋_GB2312" w:hAnsi="仿宋_GB2312" w:eastAsia="仿宋_GB2312" w:cs="仿宋_GB2312"/>
                <w:sz w:val="24"/>
                <w:lang w:eastAsia="zh-CN"/>
              </w:rPr>
            </w:pPr>
            <w:r>
              <w:rPr>
                <w:rFonts w:hint="eastAsia" w:ascii="仿宋_GB2312" w:hAnsi="仿宋" w:eastAsia="仿宋_GB2312" w:cs="仿宋"/>
                <w:color w:val="000000"/>
                <w:sz w:val="24"/>
              </w:rPr>
              <w:t>退出部队现役的考生，残疾人民警察，全国公安系统一级、二级英雄模范（司法行政机关人民警察一级、二级英雄模范）的子女，因公牺牲、一级至四级因公伤残公安民警（司法行政机关人民警察）的子女</w:t>
            </w:r>
            <w:r>
              <w:rPr>
                <w:rFonts w:hint="eastAsia" w:ascii="仿宋_GB2312" w:hAnsi="仿宋" w:eastAsia="仿宋_GB2312" w:cs="仿宋"/>
                <w:color w:val="000000"/>
                <w:sz w:val="24"/>
                <w:lang w:eastAsia="zh-CN"/>
              </w:rPr>
              <w:t>，</w:t>
            </w:r>
            <w:r>
              <w:rPr>
                <w:rFonts w:hint="eastAsia" w:ascii="仿宋_GB2312" w:hAnsi="仿宋" w:eastAsia="仿宋_GB2312" w:cs="仿宋"/>
                <w:color w:val="000000"/>
                <w:sz w:val="24"/>
              </w:rPr>
              <w:t>5A级青年志愿者</w:t>
            </w:r>
            <w:r>
              <w:rPr>
                <w:rFonts w:hint="eastAsia" w:ascii="仿宋_GB2312" w:hAnsi="仿宋" w:eastAsia="仿宋_GB2312" w:cs="仿宋"/>
                <w:color w:val="000000"/>
                <w:sz w:val="24"/>
                <w:lang w:eastAsia="zh-CN"/>
              </w:rPr>
              <w:t>。</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eastAsia="仿宋_GB2312"/>
                <w:color w:val="000000"/>
                <w:sz w:val="24"/>
              </w:rPr>
            </w:pPr>
            <w:r>
              <w:rPr>
                <w:rFonts w:hint="eastAsia" w:ascii="仿宋_GB2312" w:hAnsi="仿宋" w:eastAsia="仿宋_GB2312" w:cs="仿宋"/>
                <w:color w:val="000000"/>
                <w:sz w:val="24"/>
              </w:rPr>
              <w:t>同等条件下，优先录取</w:t>
            </w:r>
          </w:p>
        </w:tc>
      </w:tr>
    </w:tbl>
    <w:p>
      <w:pPr>
        <w:widowControl/>
        <w:rPr>
          <w:rFonts w:ascii="宋体" w:hAnsi="宋体" w:cs="宋体"/>
          <w:color w:val="000000"/>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6605D"/>
    <w:rsid w:val="016E69CA"/>
    <w:rsid w:val="4966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2022-05-27T08:07:00Z</dcterms:created>
  <dc:creator>GFT</dc:creator>
  <cp:lastModifiedBy>GFT</cp:lastModifiedBy>
  <dcterms:modified xsi:type="dcterms:W3CDTF">2022-05-27T08:08:49Z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